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info@worldmusicatlas.org</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https://worldmusicatlas.org/Contact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musicatlas.org/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